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建设申报书</w:t>
      </w:r>
    </w:p>
    <w:p>
      <w:pPr>
        <w:spacing w:beforeLines="0" w:afterLines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（建设方案）编写指引</w:t>
      </w:r>
    </w:p>
    <w:p>
      <w:pPr>
        <w:spacing w:beforeLines="0" w:afterLines="0" w:line="560" w:lineRule="exact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级制造业创新中心建设指导，完善制造业创新中心申报建设环节，结合《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佛山市支持制造业创新中心建设扶持方案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》，特制订本指引。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制造业大市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制造业大而不强的情况还未发生根本转变，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根本在于创新能力不强。面向制造业创新发展的重大需求，积极借鉴产业领域出色经验，以制造业创新中心建设为途径，打通技术、组织、商业、资本之间的分割与壁垒，整合重组各类创新资源和主体，推动机制创新、模式创新和管理创新，构建能够承担从技术开发、转移扩散到首次商业化的新型制造业创新平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437291879"/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（一）基本思路与原则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制造强省战略和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制造业竞争能力。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攻克解决一批制约行业发展的共性关键技术瓶颈，转化推广一批先进适用技术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由大变强提供战略支撑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（二）定位与功能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制造业创新中心是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级创新平台的一种形式，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是由企业、科研院所、高校等各类创新主体自愿组合、自主结合，以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企业为主体，以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独立法人形式建立的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新型创新载体。这种新型创新载体具有以下特征与功能：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一是整合制造业创新资源。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" w:name="_Toc437291884"/>
      <w:bookmarkStart w:id="2" w:name="_Toc430443535"/>
      <w:bookmarkStart w:id="3" w:name="_Toc429587238"/>
      <w:bookmarkStart w:id="4" w:name="_Toc43037893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建设方式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充分发挥企业、科研院所、高校、行业组织的主体性和积极性，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</w:rPr>
        <w:t>装备制造、泛家居、汽车及新能源、军民融合及电子信息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智能制造装备及机器人、新材料、食品饮料、生物医药及大健康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兼顾制造业转型升级需求，统筹考虑现有科技资源，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以企业为主体，依托已有产业技术联盟，或引导鼓励企业、科研院所、高校，尤其是转制院所，自愿选择自主结合，构建各类产业技术联盟，发挥各自优势，整合相关资源，探索机制和模式创新，建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同时，组织协调相关创新资源，营造良好环境，大力鼓励和支持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制造业创新中心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升级广东省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级制造业创新中心。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（四）管理和运行</w:t>
      </w:r>
    </w:p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以“企业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+联盟”形式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根据参与成员和所在行业特征，创新中心的组织结构由参与建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的各成员单位协商决定，采取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形式。创新中心经营活动自主决策，实现自负盈亏、自我发展。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创新中心按照责权明确、科学管理的模式运行。创新中心自主决策、自我管理。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（2）建立技术专家委员会作为内部咨询机构。技术专家委员会由来自学术界、企业界和政府委派的专家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（如科技特派员）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组成，负责研判行业发展重大问题并筛选确定研究方向。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协同模式。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采取网络化科研模式，利用互联网、云计算、大数据等新一代信息技术，建设覆盖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单位的科研创新网络平台，实现多学科、跨领域、跨地区的技术创新，优势互补、资源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共享，充分发挥创新资源合理配置的协同优势，提升持续创新能力。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统筹设计、阶段实施、突出重点、政策协同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的要求，逐步推进创新中心建设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，力争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创新中心建设一段时间后，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掌握一批重点领域前沿技术和共性关键技术，行业共性关键技术供给机制初步形成，形成比较完善的、能够支撑面向全球的国家制造业创新中心建设的制造业创新体系。在创新中心支撑下，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公司和产业集群，在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省内、国内甚至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全球产业分工和价值链中的地位明显提升。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15D3"/>
    <w:rsid w:val="0D8A69D5"/>
    <w:rsid w:val="18792804"/>
    <w:rsid w:val="19A055C5"/>
    <w:rsid w:val="24522DBE"/>
    <w:rsid w:val="3FB1780C"/>
    <w:rsid w:val="40BF4C3A"/>
    <w:rsid w:val="48745787"/>
    <w:rsid w:val="535D5F14"/>
    <w:rsid w:val="556510D1"/>
    <w:rsid w:val="5D003731"/>
    <w:rsid w:val="6B0664CA"/>
    <w:rsid w:val="6CFF466B"/>
    <w:rsid w:val="74AA15D3"/>
    <w:rsid w:val="756F8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hAnsi="楷体_GB2312" w:eastAsia="楷体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Title1"/>
    <w:qFormat/>
    <w:uiPriority w:val="0"/>
    <w:pPr>
      <w:jc w:val="center"/>
    </w:pPr>
    <w:rPr>
      <w:rFonts w:ascii="Times New Roman" w:hAnsi="Times New Roman" w:eastAsia="黑体" w:cs="Times New Roman"/>
      <w:kern w:val="2"/>
      <w:sz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2020-06-01T01:01:00Z</dcterms:created>
  <dc:creator>林倩</dc:creator>
  <cp:lastModifiedBy>thtf</cp:lastModifiedBy>
  <dcterms:modified xsi:type="dcterms:W3CDTF">2022-08-24T12:41:44Z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